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5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技术成熟度等级划分</w:t>
      </w:r>
    </w:p>
    <w:tbl>
      <w:tblPr>
        <w:tblStyle w:val="3"/>
        <w:tblW w:w="48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2909"/>
        <w:gridCol w:w="3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等级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评价标准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举证要素/技术凭证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第1级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报告级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发现新现象、新问题、新需求并提出报告（问题导向/技术推动/需求牵引＋灵感创意）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调研报告、需求报告、产业发展、市场前景等分析报告等。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第2级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方案级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提出了满足需求或解决问题的技术方案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研究方案、实施方案等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第3级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仿真级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核心技术概念模型仿真验证成功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虚拟或实物仿真概念模型等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第4级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功能级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实验室内关键功能指标测试达到预期目标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实验室、实物功能模型等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第5级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初样级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功能样品、图纸＋工艺设计、测试通过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提出功能测试的指标、测试报告等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第6级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正样级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功能样机演示测试合格、工艺验证可行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提出性能测试指标、测试报告等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第7级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环境级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工程样机系统运行、例行环境试验合格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现场实验或例行试验报告等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第8级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产品级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小批试产合格、生产条件完备、工艺成熟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可以交付使用的产品等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第9级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系统级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实现大批量商业化生产，产品质量合格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产品第一次实际应用等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第10级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销售级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取得第一笔销售收入，销量≥盈亏平衡点数量的30％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合同、发票等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第11级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盈亏级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项目年度总收益-项目年度运营成本≥0，开始年度盈利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合同、发票、收款凭证等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第12级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利润级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项目累计总收益≥项目全部累计总投入的30％到50%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合同、发票、财报等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7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第13级</w:t>
            </w:r>
          </w:p>
        </w:tc>
        <w:tc>
          <w:tcPr>
            <w:tcW w:w="576" w:type="pct"/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回报级</w:t>
            </w:r>
          </w:p>
        </w:tc>
        <w:tc>
          <w:tcPr>
            <w:tcW w:w="1744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项目累计总收益-项目全部累计总投入（研发投入+生产投入+运营投入）≥0</w:t>
            </w:r>
          </w:p>
        </w:tc>
        <w:tc>
          <w:tcPr>
            <w:tcW w:w="1971" w:type="pct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STSongti-SC-Regular"/>
                <w:kern w:val="0"/>
                <w:sz w:val="21"/>
                <w:szCs w:val="21"/>
              </w:rPr>
              <w:t>合同、发票、财报、统计等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ti-SC-Regula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F9C4C"/>
    <w:rsid w:val="18FF9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2022-01-12T09:11:00Z</dcterms:created>
  <dc:creator>路普庆</dc:creator>
  <cp:lastModifiedBy>路普庆</cp:lastModifiedBy>
  <dcterms:modified xsi:type="dcterms:W3CDTF">2022-01-12T09:12:15Z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