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03" w:rsidRPr="00577264" w:rsidRDefault="00360B03" w:rsidP="00360B03">
      <w:pPr>
        <w:widowControl/>
        <w:jc w:val="left"/>
        <w:rPr>
          <w:rFonts w:ascii="黑体" w:eastAsia="黑体" w:hAnsi="黑体" w:cs="宋体" w:hint="eastAsia"/>
          <w:color w:val="000000"/>
          <w:kern w:val="0"/>
          <w:szCs w:val="32"/>
        </w:rPr>
      </w:pPr>
      <w:r w:rsidRPr="00577264">
        <w:rPr>
          <w:rFonts w:ascii="黑体" w:eastAsia="黑体" w:hAnsi="黑体" w:cs="宋体" w:hint="eastAsia"/>
          <w:color w:val="000000"/>
          <w:kern w:val="0"/>
          <w:szCs w:val="32"/>
        </w:rPr>
        <w:t>附件</w:t>
      </w:r>
      <w:r w:rsidRPr="00577264">
        <w:rPr>
          <w:rFonts w:ascii="黑体" w:eastAsia="黑体" w:hAnsi="黑体" w:cs="宋体"/>
          <w:color w:val="000000"/>
          <w:kern w:val="0"/>
          <w:szCs w:val="32"/>
        </w:rPr>
        <w:t>3</w:t>
      </w:r>
    </w:p>
    <w:p w:rsidR="00360B03" w:rsidRPr="00577264" w:rsidRDefault="00360B03" w:rsidP="00360B03">
      <w:pPr>
        <w:widowControl/>
        <w:jc w:val="left"/>
        <w:rPr>
          <w:rFonts w:ascii="黑体" w:eastAsia="黑体" w:hAnsi="黑体" w:cs="宋体" w:hint="eastAsia"/>
          <w:color w:val="000000"/>
          <w:kern w:val="0"/>
          <w:szCs w:val="32"/>
        </w:rPr>
      </w:pPr>
    </w:p>
    <w:p w:rsidR="00360B03" w:rsidRPr="00577264" w:rsidRDefault="00360B03" w:rsidP="00360B03">
      <w:pPr>
        <w:spacing w:line="600" w:lineRule="exact"/>
        <w:jc w:val="center"/>
        <w:rPr>
          <w:rFonts w:ascii="宋体" w:eastAsia="方正小标宋简体" w:hAnsi="宋体"/>
          <w:b/>
          <w:color w:val="000000"/>
          <w:sz w:val="44"/>
          <w:szCs w:val="44"/>
        </w:rPr>
      </w:pPr>
      <w:bookmarkStart w:id="0" w:name="_GoBack"/>
      <w:r w:rsidRPr="00577264">
        <w:rPr>
          <w:rFonts w:ascii="宋体" w:eastAsia="方正小标宋简体" w:hAnsi="宋体" w:hint="eastAsia"/>
          <w:b/>
          <w:color w:val="000000"/>
          <w:sz w:val="44"/>
          <w:szCs w:val="44"/>
        </w:rPr>
        <w:t>医疗机构依法执业管理建议书（式样）</w:t>
      </w:r>
    </w:p>
    <w:bookmarkEnd w:id="0"/>
    <w:p w:rsidR="00360B03" w:rsidRPr="00577264" w:rsidRDefault="00360B03" w:rsidP="00360B03">
      <w:pPr>
        <w:spacing w:line="460" w:lineRule="exact"/>
        <w:jc w:val="right"/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</w:pP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                                  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编号：</w:t>
      </w:r>
      <w:r w:rsidRPr="00577264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〔年份〕</w:t>
      </w:r>
      <w:r w:rsidRPr="00577264">
        <w:rPr>
          <w:rFonts w:ascii="宋体" w:eastAsia="宋体" w:hAnsi="宋体" w:cs="仿宋_GB2312"/>
          <w:color w:val="000000"/>
          <w:kern w:val="0"/>
          <w:sz w:val="24"/>
          <w:szCs w:val="24"/>
        </w:rPr>
        <w:t>+</w:t>
      </w:r>
      <w:r w:rsidRPr="00577264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序号</w:t>
      </w:r>
    </w:p>
    <w:p w:rsidR="00360B03" w:rsidRPr="00577264" w:rsidRDefault="00360B03" w:rsidP="00360B03">
      <w:pPr>
        <w:spacing w:line="460" w:lineRule="exact"/>
        <w:jc w:val="righ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</w:p>
    <w:p w:rsidR="00360B03" w:rsidRPr="00577264" w:rsidRDefault="00360B03" w:rsidP="00360B03">
      <w:pPr>
        <w:spacing w:line="42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　（医疗机构名称）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360B03" w:rsidRPr="00577264" w:rsidRDefault="00360B03" w:rsidP="00360B03">
      <w:pPr>
        <w:spacing w:line="42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你单位因不良执业行为在本校验周期内已累计记分（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）分。依据《山东省医疗机构不良执业行为记分管理办法》第二十条，你单位已作为卫生计生行政部门监督管理的重点对象。请切实加强管理，增强依法执业意识，规范执业行为，保障医疗质量和医疗安全。</w:t>
      </w:r>
    </w:p>
    <w:p w:rsidR="00360B03" w:rsidRPr="00577264" w:rsidRDefault="00360B03" w:rsidP="00360B03">
      <w:pPr>
        <w:spacing w:line="42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60B03" w:rsidRPr="00577264" w:rsidRDefault="00360B03" w:rsidP="00360B03">
      <w:pPr>
        <w:spacing w:line="42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警示提示：</w:t>
      </w:r>
    </w:p>
    <w:p w:rsidR="00360B03" w:rsidRPr="00577264" w:rsidRDefault="00360B03" w:rsidP="00360B03">
      <w:pPr>
        <w:spacing w:line="42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依据《山东省医疗机构不良执业行为记分管理办法》第二十一条，校验期为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年的医疗机构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一个记分周期累计记分≥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>12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分（或校验期为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年的医疗机构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一个记分周期累计记分≥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>18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分或校验期内累计记分≥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>50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分），将取消医疗机构年度评优、评先资格，对医疗机构负责人进行约谈，管理人员及相关医务人员接受法律法规培训。</w:t>
      </w:r>
    </w:p>
    <w:p w:rsidR="00360B03" w:rsidRPr="00577264" w:rsidRDefault="00360B03" w:rsidP="00360B03">
      <w:pPr>
        <w:spacing w:line="42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依据《山东省医疗机构不良执业行为记分管理办法》第二十二条、第二十三条、第二十四条，校验期为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年的医疗机构，一个记分周期累计记分≥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>18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分（校验期为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年的医疗机构，校验期内累计记分≥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>60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分），将按照《医疗机构管理条例实施细则》及《医疗机构校验管理办法（试行）》给予医疗机构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>1-6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个月的暂缓校验期；暂缓校验期间除急诊急救外，不得开展门诊服务，不得收治新病人，不得发布医疗服务信息和广告。给予暂缓校验的医疗机构，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年内不得申请医疗机构等级评审；已通过等级评审的医疗机构，给予等级警告或降等级处理。</w:t>
      </w:r>
    </w:p>
    <w:p w:rsidR="00360B03" w:rsidRPr="00577264" w:rsidRDefault="00360B03" w:rsidP="00360B03">
      <w:pPr>
        <w:spacing w:line="420" w:lineRule="exact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特此告知。</w:t>
      </w:r>
    </w:p>
    <w:p w:rsidR="00360B03" w:rsidRPr="00577264" w:rsidRDefault="00360B03" w:rsidP="00360B03">
      <w:pPr>
        <w:spacing w:line="42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60B03" w:rsidRPr="00577264" w:rsidRDefault="00360B03" w:rsidP="00360B03">
      <w:pPr>
        <w:widowControl/>
        <w:spacing w:line="460" w:lineRule="exac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                                    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（盖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章）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                               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360B03" w:rsidRPr="00577264" w:rsidRDefault="00360B03" w:rsidP="00360B03">
      <w:pPr>
        <w:widowControl/>
        <w:spacing w:line="4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360B03" w:rsidRPr="00577264" w:rsidRDefault="00360B03" w:rsidP="00360B03">
      <w:pPr>
        <w:widowControl/>
        <w:spacing w:line="460" w:lineRule="exact"/>
        <w:jc w:val="left"/>
        <w:rPr>
          <w:rFonts w:ascii="宋体" w:eastAsia="宋体" w:hAnsi="宋体"/>
          <w:color w:val="000000"/>
          <w:sz w:val="24"/>
          <w:szCs w:val="24"/>
        </w:rPr>
      </w:pP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备注：本建议书一式两份，一份卫生计生行政部门留存，一份送达当事单位。</w:t>
      </w:r>
    </w:p>
    <w:p w:rsidR="0045707A" w:rsidRDefault="0045707A"/>
    <w:sectPr w:rsidR="0045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03"/>
    <w:rsid w:val="00360B03"/>
    <w:rsid w:val="0045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0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0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2018-04-19T08:34:00Z</dcterms:created>
  <dcterms:modified xsi:type="dcterms:W3CDTF">2018-04-19T08:34:00Z</dcterms:modified>
</cp:coreProperties>
</file>